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6F84" w:rsidRPr="0015249C" w:rsidRDefault="00326DE1" w:rsidP="00736F84">
      <w:pPr>
        <w:jc w:val="center"/>
        <w:rPr>
          <w:rFonts w:ascii="Arial" w:hAnsi="Arial" w:cs="Arial"/>
          <w:sz w:val="36"/>
          <w:szCs w:val="36"/>
        </w:rPr>
      </w:pPr>
      <w:bookmarkStart w:id="0" w:name="_GoBack"/>
      <w:bookmarkEnd w:id="0"/>
      <w:r w:rsidRPr="0015249C">
        <w:rPr>
          <w:rFonts w:ascii="Arial" w:hAnsi="Arial" w:cs="Arial"/>
          <w:sz w:val="36"/>
          <w:szCs w:val="36"/>
          <w:lang w:val="pt-BR"/>
        </w:rPr>
        <w:t>NUTRICIÓN, ESTRÉS OXIDANTE Y PATOLOGÍA BUCAL</w:t>
      </w:r>
    </w:p>
    <w:p w:rsidR="00736F84" w:rsidRPr="0015249C" w:rsidRDefault="00736F84" w:rsidP="00736F84">
      <w:pPr>
        <w:jc w:val="center"/>
        <w:rPr>
          <w:rFonts w:ascii="Arial" w:hAnsi="Arial" w:cs="Arial"/>
          <w:sz w:val="10"/>
          <w:szCs w:val="10"/>
        </w:rPr>
      </w:pPr>
    </w:p>
    <w:p w:rsidR="00783D0A" w:rsidRPr="0015249C" w:rsidRDefault="00326DE1" w:rsidP="00736F84">
      <w:pPr>
        <w:jc w:val="center"/>
        <w:rPr>
          <w:rFonts w:ascii="Arial" w:hAnsi="Arial" w:cs="Arial"/>
          <w:sz w:val="20"/>
          <w:szCs w:val="20"/>
        </w:rPr>
      </w:pPr>
      <w:r w:rsidRPr="0015249C">
        <w:rPr>
          <w:rFonts w:ascii="Arial" w:hAnsi="Arial" w:cs="Arial"/>
          <w:sz w:val="20"/>
          <w:szCs w:val="20"/>
        </w:rPr>
        <w:t>Banderas-</w:t>
      </w:r>
      <w:proofErr w:type="spellStart"/>
      <w:r w:rsidRPr="0015249C">
        <w:rPr>
          <w:rFonts w:ascii="Arial" w:hAnsi="Arial" w:cs="Arial"/>
          <w:sz w:val="20"/>
          <w:szCs w:val="20"/>
        </w:rPr>
        <w:t>Tarabay</w:t>
      </w:r>
      <w:proofErr w:type="spellEnd"/>
      <w:r w:rsidRPr="0015249C">
        <w:rPr>
          <w:rFonts w:ascii="Arial" w:hAnsi="Arial" w:cs="Arial"/>
          <w:sz w:val="20"/>
          <w:szCs w:val="20"/>
        </w:rPr>
        <w:t xml:space="preserve"> José Antonio</w:t>
      </w:r>
      <w:r w:rsidR="005C703F" w:rsidRPr="0015249C">
        <w:rPr>
          <w:rFonts w:ascii="Arial" w:hAnsi="Arial" w:cs="Arial"/>
          <w:sz w:val="20"/>
          <w:szCs w:val="20"/>
          <w:vertAlign w:val="superscript"/>
        </w:rPr>
        <w:t>1,2</w:t>
      </w:r>
      <w:r w:rsidRPr="0015249C">
        <w:rPr>
          <w:rFonts w:ascii="Arial" w:hAnsi="Arial" w:cs="Arial"/>
          <w:sz w:val="20"/>
          <w:szCs w:val="20"/>
        </w:rPr>
        <w:t xml:space="preserve">, </w:t>
      </w:r>
      <w:r w:rsidR="005C703F" w:rsidRPr="0015249C">
        <w:rPr>
          <w:rFonts w:ascii="Arial" w:hAnsi="Arial" w:cs="Arial"/>
          <w:sz w:val="20"/>
          <w:szCs w:val="20"/>
        </w:rPr>
        <w:t xml:space="preserve">Hernández-Sánchez </w:t>
      </w:r>
      <w:r w:rsidR="00F77501" w:rsidRPr="0015249C">
        <w:rPr>
          <w:rFonts w:ascii="Arial" w:hAnsi="Arial" w:cs="Arial"/>
          <w:sz w:val="20"/>
          <w:szCs w:val="20"/>
        </w:rPr>
        <w:t xml:space="preserve">María </w:t>
      </w:r>
      <w:r w:rsidR="005C703F" w:rsidRPr="0015249C">
        <w:rPr>
          <w:rFonts w:ascii="Arial" w:hAnsi="Arial" w:cs="Arial"/>
          <w:sz w:val="20"/>
          <w:szCs w:val="20"/>
        </w:rPr>
        <w:t>Erika</w:t>
      </w:r>
      <w:r w:rsidR="006E64B5" w:rsidRPr="0015249C">
        <w:rPr>
          <w:rFonts w:ascii="Arial" w:hAnsi="Arial" w:cs="Arial"/>
          <w:sz w:val="20"/>
          <w:szCs w:val="20"/>
          <w:vertAlign w:val="superscript"/>
        </w:rPr>
        <w:t>2</w:t>
      </w:r>
      <w:r w:rsidR="005C703F" w:rsidRPr="0015249C">
        <w:rPr>
          <w:rFonts w:ascii="Arial" w:hAnsi="Arial" w:cs="Arial"/>
          <w:sz w:val="20"/>
          <w:szCs w:val="20"/>
        </w:rPr>
        <w:t>, Cervantes-Rodríguez Margarita</w:t>
      </w:r>
      <w:r w:rsidR="005C703F" w:rsidRPr="0015249C">
        <w:rPr>
          <w:rFonts w:ascii="Arial" w:hAnsi="Arial" w:cs="Arial"/>
          <w:sz w:val="20"/>
          <w:szCs w:val="20"/>
          <w:vertAlign w:val="superscript"/>
        </w:rPr>
        <w:t>2</w:t>
      </w:r>
      <w:r w:rsidR="00736F84" w:rsidRPr="0015249C">
        <w:rPr>
          <w:rFonts w:ascii="Arial" w:hAnsi="Arial" w:cs="Arial"/>
          <w:sz w:val="20"/>
          <w:szCs w:val="20"/>
        </w:rPr>
        <w:t xml:space="preserve">, </w:t>
      </w:r>
    </w:p>
    <w:p w:rsidR="00783D0A" w:rsidRPr="0015249C" w:rsidRDefault="005C703F" w:rsidP="00736F84">
      <w:pPr>
        <w:jc w:val="center"/>
        <w:rPr>
          <w:rFonts w:ascii="Arial" w:hAnsi="Arial" w:cs="Arial"/>
          <w:sz w:val="20"/>
          <w:szCs w:val="20"/>
        </w:rPr>
      </w:pPr>
      <w:r w:rsidRPr="0015249C">
        <w:rPr>
          <w:rFonts w:ascii="Arial" w:hAnsi="Arial" w:cs="Arial"/>
          <w:sz w:val="20"/>
          <w:szCs w:val="20"/>
        </w:rPr>
        <w:t>Méndez-Iturbide Daniel</w:t>
      </w:r>
      <w:r w:rsidR="006E64B5" w:rsidRPr="0015249C">
        <w:rPr>
          <w:rFonts w:ascii="Arial" w:hAnsi="Arial" w:cs="Arial"/>
          <w:sz w:val="20"/>
          <w:szCs w:val="20"/>
          <w:vertAlign w:val="superscript"/>
        </w:rPr>
        <w:t>2</w:t>
      </w:r>
      <w:r w:rsidRPr="0015249C">
        <w:rPr>
          <w:rFonts w:ascii="Arial" w:hAnsi="Arial" w:cs="Arial"/>
          <w:sz w:val="20"/>
          <w:szCs w:val="20"/>
        </w:rPr>
        <w:t>, Toledo-</w:t>
      </w:r>
      <w:proofErr w:type="spellStart"/>
      <w:r w:rsidRPr="0015249C">
        <w:rPr>
          <w:rFonts w:ascii="Arial" w:hAnsi="Arial" w:cs="Arial"/>
          <w:sz w:val="20"/>
          <w:szCs w:val="20"/>
        </w:rPr>
        <w:t>Minutti</w:t>
      </w:r>
      <w:proofErr w:type="spellEnd"/>
      <w:r w:rsidRPr="0015249C">
        <w:rPr>
          <w:rFonts w:ascii="Arial" w:hAnsi="Arial" w:cs="Arial"/>
          <w:sz w:val="20"/>
          <w:szCs w:val="20"/>
        </w:rPr>
        <w:t xml:space="preserve"> Victor</w:t>
      </w:r>
      <w:r w:rsidR="00736F84" w:rsidRPr="0015249C">
        <w:rPr>
          <w:rFonts w:ascii="Arial" w:hAnsi="Arial" w:cs="Arial"/>
          <w:sz w:val="20"/>
          <w:szCs w:val="20"/>
          <w:vertAlign w:val="superscript"/>
        </w:rPr>
        <w:t>1</w:t>
      </w:r>
      <w:r w:rsidR="00783D0A" w:rsidRPr="0015249C">
        <w:rPr>
          <w:rFonts w:ascii="Arial" w:hAnsi="Arial" w:cs="Arial"/>
          <w:sz w:val="20"/>
          <w:szCs w:val="20"/>
        </w:rPr>
        <w:t>.</w:t>
      </w:r>
    </w:p>
    <w:p w:rsidR="00736F84" w:rsidRPr="0015249C" w:rsidRDefault="00736F84" w:rsidP="00736F84">
      <w:pPr>
        <w:jc w:val="center"/>
        <w:rPr>
          <w:rFonts w:ascii="Arial" w:hAnsi="Arial" w:cs="Arial"/>
          <w:sz w:val="20"/>
          <w:szCs w:val="20"/>
        </w:rPr>
      </w:pPr>
      <w:r w:rsidRPr="0015249C">
        <w:rPr>
          <w:rFonts w:ascii="Arial" w:hAnsi="Arial" w:cs="Arial"/>
          <w:sz w:val="20"/>
          <w:szCs w:val="20"/>
        </w:rPr>
        <w:t xml:space="preserve"> </w:t>
      </w:r>
    </w:p>
    <w:p w:rsidR="0015249C" w:rsidRDefault="00736F84" w:rsidP="00736F84">
      <w:pPr>
        <w:jc w:val="center"/>
        <w:rPr>
          <w:rFonts w:ascii="Arial" w:hAnsi="Arial" w:cs="Arial"/>
          <w:sz w:val="20"/>
          <w:szCs w:val="20"/>
        </w:rPr>
      </w:pPr>
      <w:r w:rsidRPr="0015249C">
        <w:rPr>
          <w:rFonts w:ascii="Arial" w:hAnsi="Arial" w:cs="Arial"/>
          <w:sz w:val="20"/>
          <w:szCs w:val="20"/>
          <w:vertAlign w:val="superscript"/>
        </w:rPr>
        <w:t>1</w:t>
      </w:r>
      <w:r w:rsidR="00326DE1" w:rsidRPr="0015249C">
        <w:rPr>
          <w:rFonts w:ascii="Arial" w:hAnsi="Arial" w:cs="Arial"/>
          <w:sz w:val="20"/>
          <w:szCs w:val="20"/>
        </w:rPr>
        <w:t>Centro Mexicano</w:t>
      </w:r>
      <w:r w:rsidRPr="0015249C">
        <w:rPr>
          <w:rFonts w:ascii="Arial" w:hAnsi="Arial" w:cs="Arial"/>
          <w:sz w:val="20"/>
          <w:szCs w:val="20"/>
        </w:rPr>
        <w:t xml:space="preserve"> en Estomatología</w:t>
      </w:r>
      <w:r w:rsidR="00783D0A" w:rsidRPr="0015249C">
        <w:rPr>
          <w:rFonts w:ascii="Arial" w:hAnsi="Arial" w:cs="Arial"/>
          <w:sz w:val="20"/>
          <w:szCs w:val="20"/>
        </w:rPr>
        <w:t>, Universidad</w:t>
      </w:r>
      <w:r w:rsidR="0015249C">
        <w:rPr>
          <w:rFonts w:ascii="Arial" w:hAnsi="Arial" w:cs="Arial"/>
          <w:sz w:val="20"/>
          <w:szCs w:val="20"/>
        </w:rPr>
        <w:t>. Puebla, México</w:t>
      </w:r>
      <w:r w:rsidRPr="0015249C">
        <w:rPr>
          <w:rFonts w:ascii="Arial" w:hAnsi="Arial" w:cs="Arial"/>
          <w:sz w:val="20"/>
          <w:szCs w:val="20"/>
        </w:rPr>
        <w:t xml:space="preserve">; </w:t>
      </w:r>
    </w:p>
    <w:p w:rsidR="00736F84" w:rsidRPr="0015249C" w:rsidRDefault="00736F84" w:rsidP="00736F84">
      <w:pPr>
        <w:jc w:val="center"/>
        <w:rPr>
          <w:rFonts w:ascii="Arial" w:hAnsi="Arial" w:cs="Arial"/>
          <w:b/>
          <w:sz w:val="16"/>
          <w:szCs w:val="16"/>
        </w:rPr>
      </w:pPr>
      <w:r w:rsidRPr="0015249C">
        <w:rPr>
          <w:rFonts w:ascii="Arial" w:hAnsi="Arial" w:cs="Arial"/>
          <w:sz w:val="20"/>
          <w:szCs w:val="20"/>
          <w:vertAlign w:val="superscript"/>
        </w:rPr>
        <w:t>2</w:t>
      </w:r>
      <w:r w:rsidR="00326DE1" w:rsidRPr="0015249C">
        <w:rPr>
          <w:rFonts w:ascii="Arial" w:hAnsi="Arial" w:cs="Arial"/>
          <w:sz w:val="20"/>
          <w:szCs w:val="20"/>
        </w:rPr>
        <w:t>Facultad de Nutrición, U</w:t>
      </w:r>
      <w:r w:rsidR="0015249C">
        <w:rPr>
          <w:rFonts w:ascii="Arial" w:hAnsi="Arial" w:cs="Arial"/>
          <w:sz w:val="20"/>
          <w:szCs w:val="20"/>
        </w:rPr>
        <w:t>niversidad Autónoma de Tlaxcala. Tlaxcala,</w:t>
      </w:r>
      <w:r w:rsidR="00326DE1" w:rsidRPr="0015249C">
        <w:rPr>
          <w:rFonts w:ascii="Arial" w:hAnsi="Arial" w:cs="Arial"/>
          <w:sz w:val="20"/>
          <w:szCs w:val="20"/>
        </w:rPr>
        <w:t xml:space="preserve"> México</w:t>
      </w:r>
      <w:r w:rsidRPr="0015249C">
        <w:rPr>
          <w:rFonts w:ascii="Arial" w:hAnsi="Arial" w:cs="Arial"/>
          <w:sz w:val="20"/>
          <w:szCs w:val="20"/>
        </w:rPr>
        <w:t>.</w:t>
      </w:r>
    </w:p>
    <w:p w:rsidR="00FE1AA1" w:rsidRPr="0015249C" w:rsidRDefault="00FE1AA1">
      <w:pPr>
        <w:jc w:val="both"/>
        <w:rPr>
          <w:rFonts w:ascii="Arial" w:hAnsi="Arial" w:cs="Arial"/>
        </w:rPr>
      </w:pPr>
    </w:p>
    <w:p w:rsidR="00F21F43" w:rsidRDefault="00736F84" w:rsidP="001D4F4F">
      <w:pPr>
        <w:spacing w:line="360" w:lineRule="auto"/>
        <w:jc w:val="both"/>
        <w:rPr>
          <w:rFonts w:ascii="Arial" w:hAnsi="Arial" w:cs="Arial"/>
        </w:rPr>
      </w:pPr>
      <w:r w:rsidRPr="00736F84">
        <w:rPr>
          <w:rFonts w:ascii="Arial" w:hAnsi="Arial" w:cs="Arial"/>
          <w:b/>
        </w:rPr>
        <w:t xml:space="preserve">Introducción. </w:t>
      </w:r>
      <w:r w:rsidR="006E64B5">
        <w:rPr>
          <w:rFonts w:ascii="Arial" w:hAnsi="Arial" w:cs="Arial"/>
        </w:rPr>
        <w:t>La relación salud bucal y nutrición</w:t>
      </w:r>
      <w:r w:rsidR="001D4F4F">
        <w:rPr>
          <w:rFonts w:ascii="Arial" w:hAnsi="Arial" w:cs="Arial"/>
        </w:rPr>
        <w:t xml:space="preserve"> son un factor importante en la formación de radicales libres en los procesos de salud-enfermedad en cavidad bucal y a nivel sistémico</w:t>
      </w:r>
      <w:r w:rsidRPr="00736F84">
        <w:rPr>
          <w:rFonts w:ascii="Arial" w:hAnsi="Arial" w:cs="Arial"/>
        </w:rPr>
        <w:t>.</w:t>
      </w:r>
      <w:r w:rsidR="001D4F4F">
        <w:rPr>
          <w:rFonts w:ascii="Arial" w:hAnsi="Arial" w:cs="Arial"/>
        </w:rPr>
        <w:t xml:space="preserve"> Una mala alimentación y un pobre estado de salud bucal, puede generar un estado de es</w:t>
      </w:r>
      <w:r w:rsidR="00554709">
        <w:rPr>
          <w:rFonts w:ascii="Arial" w:hAnsi="Arial" w:cs="Arial"/>
        </w:rPr>
        <w:t>trés oxidante</w:t>
      </w:r>
      <w:r w:rsidR="001D4F4F">
        <w:rPr>
          <w:rFonts w:ascii="Arial" w:hAnsi="Arial" w:cs="Arial"/>
        </w:rPr>
        <w:t xml:space="preserve"> y producir enfermedades como la caries dental, la enfermedad periodontal y el cáncer bucal</w:t>
      </w:r>
      <w:r w:rsidR="00F21F43">
        <w:rPr>
          <w:rFonts w:ascii="Arial" w:hAnsi="Arial" w:cs="Arial"/>
        </w:rPr>
        <w:t>, aunado a los microorganismos de la flora bacteriana capaces de generar radicales libres</w:t>
      </w:r>
      <w:r w:rsidR="001D4F4F">
        <w:rPr>
          <w:rFonts w:ascii="Arial" w:hAnsi="Arial" w:cs="Arial"/>
        </w:rPr>
        <w:t>. La cavidad bucal participa en los mecanismos fisiológicos de la deglución, sin embargo las diferentes condiciones patológicas</w:t>
      </w:r>
      <w:r w:rsidR="00F21F43">
        <w:rPr>
          <w:rFonts w:ascii="Arial" w:hAnsi="Arial" w:cs="Arial"/>
        </w:rPr>
        <w:t>, como pérdida dental o malformaciones bucales,</w:t>
      </w:r>
      <w:r w:rsidR="001D4F4F">
        <w:rPr>
          <w:rFonts w:ascii="Arial" w:hAnsi="Arial" w:cs="Arial"/>
        </w:rPr>
        <w:t xml:space="preserve"> pueden inhibir la ingesta de alimentos </w:t>
      </w:r>
      <w:r w:rsidR="00F21F43">
        <w:rPr>
          <w:rFonts w:ascii="Arial" w:hAnsi="Arial" w:cs="Arial"/>
        </w:rPr>
        <w:t>y producir desnutrición, a</w:t>
      </w:r>
      <w:r w:rsidR="00554709">
        <w:rPr>
          <w:rFonts w:ascii="Arial" w:hAnsi="Arial" w:cs="Arial"/>
        </w:rPr>
        <w:t xml:space="preserve">demás </w:t>
      </w:r>
      <w:r w:rsidR="00F21F43">
        <w:rPr>
          <w:rFonts w:ascii="Arial" w:hAnsi="Arial" w:cs="Arial"/>
        </w:rPr>
        <w:t xml:space="preserve">que </w:t>
      </w:r>
      <w:r w:rsidR="00554709">
        <w:rPr>
          <w:rFonts w:ascii="Arial" w:hAnsi="Arial" w:cs="Arial"/>
        </w:rPr>
        <w:t xml:space="preserve">se le da poca importancia al tipo de alimentos que el individuo consume, muchos de ellos son capaces de adherirse y oxidarse sobre los tejidos bucales. Otro factor importante es el uso de materiales dentales que son capaces de generar radicales libres y contribuir al estrés oxidante. Un gran número de patologías presentes en cavidad bucal podrían estar asociadas a una mala nutrición y a la formación de los radicales libres que de forma directa o indirecta desestabilizan a las células y generan cambios fisiológicos y metabólicos locales y sistémicos. </w:t>
      </w:r>
      <w:r w:rsidR="00F21F43" w:rsidRPr="00F21F43">
        <w:rPr>
          <w:rFonts w:ascii="Arial" w:hAnsi="Arial" w:cs="Arial"/>
          <w:b/>
        </w:rPr>
        <w:t>Propósito.</w:t>
      </w:r>
      <w:r w:rsidR="00F21F43">
        <w:rPr>
          <w:rFonts w:ascii="Arial" w:hAnsi="Arial" w:cs="Arial"/>
        </w:rPr>
        <w:t xml:space="preserve"> Conocer la relación que tiene el estrés oxidante con el daño a los tejidos bucales y sus manifestaciones clínicas bucales y sistémicas. </w:t>
      </w:r>
      <w:r w:rsidRPr="00736F84">
        <w:rPr>
          <w:rFonts w:ascii="Arial" w:hAnsi="Arial" w:cs="Arial"/>
          <w:b/>
        </w:rPr>
        <w:t>Discusión.</w:t>
      </w:r>
      <w:r w:rsidRPr="00736F84">
        <w:rPr>
          <w:rFonts w:ascii="Arial" w:hAnsi="Arial" w:cs="Arial"/>
        </w:rPr>
        <w:t xml:space="preserve"> E</w:t>
      </w:r>
      <w:r w:rsidR="00554709">
        <w:rPr>
          <w:rFonts w:ascii="Arial" w:hAnsi="Arial" w:cs="Arial"/>
        </w:rPr>
        <w:t xml:space="preserve">l presente trabajo de investigación considera los cambios patológicos bucales y sistémicos que podrían estar asociados al estrés oxidante relacionados al estado de salud bucal y a la nutrición. </w:t>
      </w:r>
      <w:r w:rsidR="00F21F43">
        <w:rPr>
          <w:rFonts w:ascii="Arial" w:hAnsi="Arial" w:cs="Arial"/>
        </w:rPr>
        <w:t>Se presentan casos de patología bucal observados con mayor frecuencia en e</w:t>
      </w:r>
      <w:r w:rsidR="004E10C5">
        <w:rPr>
          <w:rFonts w:ascii="Arial" w:hAnsi="Arial" w:cs="Arial"/>
        </w:rPr>
        <w:t>l estado de Puebla y Tlaxcala,</w:t>
      </w:r>
      <w:r w:rsidR="00F21F43">
        <w:rPr>
          <w:rFonts w:ascii="Arial" w:hAnsi="Arial" w:cs="Arial"/>
        </w:rPr>
        <w:t xml:space="preserve"> México. E</w:t>
      </w:r>
      <w:r w:rsidRPr="00736F84">
        <w:rPr>
          <w:rFonts w:ascii="Arial" w:hAnsi="Arial" w:cs="Arial"/>
        </w:rPr>
        <w:t xml:space="preserve">s importante que el cirujano dentista </w:t>
      </w:r>
      <w:r w:rsidR="00F21F43">
        <w:rPr>
          <w:rFonts w:ascii="Arial" w:hAnsi="Arial" w:cs="Arial"/>
        </w:rPr>
        <w:t xml:space="preserve">conozca las bases de estos proceso fisiopatológicos e </w:t>
      </w:r>
      <w:r w:rsidRPr="00736F84">
        <w:rPr>
          <w:rFonts w:ascii="Arial" w:hAnsi="Arial" w:cs="Arial"/>
        </w:rPr>
        <w:t>identifique y haga el</w:t>
      </w:r>
      <w:r w:rsidR="00F21F43">
        <w:rPr>
          <w:rFonts w:ascii="Arial" w:hAnsi="Arial" w:cs="Arial"/>
        </w:rPr>
        <w:t xml:space="preserve"> diagnóstico temprano de las</w:t>
      </w:r>
      <w:r w:rsidRPr="00736F84">
        <w:rPr>
          <w:rFonts w:ascii="Arial" w:hAnsi="Arial" w:cs="Arial"/>
        </w:rPr>
        <w:t xml:space="preserve"> lesiones para evitar complicaciones locales y sistémicas. </w:t>
      </w:r>
      <w:r w:rsidRPr="00736F84">
        <w:rPr>
          <w:rFonts w:ascii="Arial" w:hAnsi="Arial" w:cs="Arial"/>
          <w:b/>
        </w:rPr>
        <w:t>Conclusión.</w:t>
      </w:r>
      <w:r w:rsidRPr="00736F84">
        <w:rPr>
          <w:rFonts w:ascii="Arial" w:hAnsi="Arial" w:cs="Arial"/>
        </w:rPr>
        <w:t xml:space="preserve"> </w:t>
      </w:r>
      <w:r w:rsidR="00554709">
        <w:rPr>
          <w:rFonts w:ascii="Arial" w:hAnsi="Arial" w:cs="Arial"/>
        </w:rPr>
        <w:t>El estado nutricio y de salud bucal de un sujeto están relacionados en el desarrollo del estrés oxidante y la formación de radicales libres, los cuales son capaces de generar daño a las células de los tejid</w:t>
      </w:r>
      <w:r w:rsidR="00F21F43">
        <w:rPr>
          <w:rFonts w:ascii="Arial" w:hAnsi="Arial" w:cs="Arial"/>
        </w:rPr>
        <w:t>os bucales y contribuir al desarrollo de condiciones patológicas más severas.</w:t>
      </w:r>
    </w:p>
    <w:p w:rsidR="00F21F43" w:rsidRDefault="00F21F43" w:rsidP="001D4F4F">
      <w:pPr>
        <w:spacing w:line="360" w:lineRule="auto"/>
        <w:jc w:val="both"/>
        <w:rPr>
          <w:rFonts w:ascii="Arial" w:hAnsi="Arial" w:cs="Arial"/>
        </w:rPr>
      </w:pPr>
    </w:p>
    <w:p w:rsidR="00FE1AA1" w:rsidRPr="00447502" w:rsidRDefault="00FE1AA1" w:rsidP="001D4F4F">
      <w:pPr>
        <w:spacing w:line="360" w:lineRule="auto"/>
        <w:jc w:val="both"/>
        <w:rPr>
          <w:rFonts w:ascii="Arial" w:hAnsi="Arial" w:cs="Arial"/>
        </w:rPr>
      </w:pPr>
    </w:p>
    <w:sectPr w:rsidR="00FE1AA1" w:rsidRPr="00447502" w:rsidSect="00E86E87"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activeWritingStyle w:appName="MSWord" w:lang="pt-BR" w:vendorID="64" w:dllVersion="131078" w:nlCheck="1" w:checkStyle="0"/>
  <w:activeWritingStyle w:appName="MSWord" w:lang="es-ES" w:vendorID="64" w:dllVersion="131078" w:nlCheck="1" w:checkStyle="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AA1"/>
    <w:rsid w:val="0015249C"/>
    <w:rsid w:val="001D4F4F"/>
    <w:rsid w:val="00326DE1"/>
    <w:rsid w:val="003C032F"/>
    <w:rsid w:val="00447502"/>
    <w:rsid w:val="004E10C5"/>
    <w:rsid w:val="004F63D7"/>
    <w:rsid w:val="00554709"/>
    <w:rsid w:val="005C703F"/>
    <w:rsid w:val="005D69F6"/>
    <w:rsid w:val="006945C8"/>
    <w:rsid w:val="006E64B5"/>
    <w:rsid w:val="00736F84"/>
    <w:rsid w:val="00783D0A"/>
    <w:rsid w:val="00846D7A"/>
    <w:rsid w:val="00AB3AE5"/>
    <w:rsid w:val="00B67CF2"/>
    <w:rsid w:val="00DE5383"/>
    <w:rsid w:val="00E86E87"/>
    <w:rsid w:val="00F21F43"/>
    <w:rsid w:val="00F77501"/>
    <w:rsid w:val="00FE1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2177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Alicia Maria Granados Martinez</cp:lastModifiedBy>
  <cp:revision>2</cp:revision>
  <dcterms:created xsi:type="dcterms:W3CDTF">2015-08-15T04:29:00Z</dcterms:created>
  <dcterms:modified xsi:type="dcterms:W3CDTF">2015-08-15T04:29:00Z</dcterms:modified>
</cp:coreProperties>
</file>